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8ED7D" w14:textId="3DE08814" w:rsidR="005E0C69" w:rsidRDefault="001141A0" w:rsidP="001141A0">
      <w:pPr>
        <w:jc w:val="center"/>
        <w:rPr>
          <w:b/>
        </w:rPr>
      </w:pPr>
      <w:r w:rsidRPr="001141A0">
        <w:rPr>
          <w:b/>
        </w:rPr>
        <w:t>ISTOTNE POSTANOWIENIA DO UMOWY</w:t>
      </w:r>
    </w:p>
    <w:p w14:paraId="69D12EBF" w14:textId="77777777" w:rsidR="00854E54" w:rsidRDefault="00854E54" w:rsidP="001141A0">
      <w:pPr>
        <w:jc w:val="center"/>
        <w:rPr>
          <w:b/>
        </w:rPr>
      </w:pPr>
    </w:p>
    <w:p w14:paraId="4EE66C3B" w14:textId="77777777" w:rsidR="00D17C95" w:rsidRDefault="00D17C95" w:rsidP="00D17C95">
      <w:pPr>
        <w:pStyle w:val="Akapitzlist"/>
        <w:numPr>
          <w:ilvl w:val="0"/>
          <w:numId w:val="4"/>
        </w:numPr>
        <w:jc w:val="both"/>
      </w:pPr>
      <w:r>
        <w:t>Zakres prac:</w:t>
      </w:r>
    </w:p>
    <w:p w14:paraId="78D2E268" w14:textId="410BA46C" w:rsidR="00D17C95" w:rsidRDefault="00D72920" w:rsidP="00D72920">
      <w:pPr>
        <w:ind w:left="372" w:firstLine="708"/>
        <w:jc w:val="both"/>
      </w:pPr>
      <w:r>
        <w:t xml:space="preserve">1.1 </w:t>
      </w:r>
      <w:r w:rsidR="00D17C95">
        <w:t xml:space="preserve">demontaż i utylizacja lamp sufitowych w pomieszczeniach szkoły; </w:t>
      </w:r>
    </w:p>
    <w:p w14:paraId="4D449ADA" w14:textId="6C4B3444" w:rsidR="00D17C95" w:rsidRDefault="00D17C95" w:rsidP="00D17C95">
      <w:pPr>
        <w:ind w:left="1080"/>
        <w:jc w:val="both"/>
      </w:pPr>
      <w:r w:rsidRPr="006A45F0">
        <w:t>1.2</w:t>
      </w:r>
      <w:r w:rsidRPr="006A45F0">
        <w:rPr>
          <w:b/>
        </w:rPr>
        <w:t xml:space="preserve"> </w:t>
      </w:r>
      <w:r>
        <w:t>montaż z dostarczeniem we własnym zakresie przez wykonawcę nowych lamp LED, zgodnie ze złożoną ofertą – oświetlenie podstawowe w miejscu wszystkich zdemontowanych opraw żarowych,</w:t>
      </w:r>
      <w:r w:rsidRPr="009A4C0D">
        <w:t xml:space="preserve"> zgodnie z obowiązującymi normami</w:t>
      </w:r>
      <w:r>
        <w:t xml:space="preserve"> </w:t>
      </w:r>
      <w:r w:rsidRPr="009A4C0D">
        <w:t>i przepisami</w:t>
      </w:r>
      <w:r>
        <w:t>;</w:t>
      </w:r>
    </w:p>
    <w:p w14:paraId="1C20FD28" w14:textId="428A6315" w:rsidR="00A26C17" w:rsidRDefault="00A26C17" w:rsidP="00D17C95">
      <w:pPr>
        <w:ind w:left="1080"/>
        <w:jc w:val="both"/>
      </w:pPr>
      <w:r>
        <w:t>1.3</w:t>
      </w:r>
      <w:r w:rsidR="00636B4C">
        <w:t xml:space="preserve"> montaż lamp LED o takim samym wyglądzie, jak zainstalowane w szkole</w:t>
      </w:r>
      <w:r w:rsidR="00636B4C">
        <w:br/>
        <w:t xml:space="preserve"> w pomieszczeniach z już wymienionym oświetleniem</w:t>
      </w:r>
    </w:p>
    <w:p w14:paraId="5BF58CC3" w14:textId="567D9073" w:rsidR="00D17C95" w:rsidRDefault="00636B4C" w:rsidP="00636B4C">
      <w:pPr>
        <w:ind w:left="1080"/>
        <w:jc w:val="both"/>
      </w:pPr>
      <w:r>
        <w:t xml:space="preserve">1.4 </w:t>
      </w:r>
      <w:r w:rsidR="00D17C95">
        <w:t>wykonanie pomiarów kontrolnych natężenia oświetlenia po dokonaniu wymiany opraw, zgodnie z obowiązującymi Polskimi Normami;</w:t>
      </w:r>
    </w:p>
    <w:p w14:paraId="7626006F" w14:textId="424E0DBC" w:rsidR="00D17C95" w:rsidRPr="008C6A59" w:rsidRDefault="00636B4C" w:rsidP="00636B4C">
      <w:pPr>
        <w:ind w:left="1080"/>
        <w:jc w:val="both"/>
      </w:pPr>
      <w:r w:rsidRPr="008C6A59">
        <w:t xml:space="preserve">1.5 </w:t>
      </w:r>
      <w:r w:rsidR="00D17C95" w:rsidRPr="008C6A59">
        <w:t>Lokalizacja pomieszczeń objętych wymianą lamp: Szkoła Podstawowa nr 20, ul. Kamieńskiego 24 we Wrocławiu:</w:t>
      </w:r>
    </w:p>
    <w:p w14:paraId="2BD571A8" w14:textId="3FE971FE" w:rsidR="00D17C95" w:rsidRPr="008C6A59" w:rsidRDefault="00F961E8" w:rsidP="00F961E8">
      <w:pPr>
        <w:ind w:left="1440"/>
        <w:jc w:val="both"/>
      </w:pPr>
      <w:bookmarkStart w:id="0" w:name="_Hlk128568289"/>
      <w:r>
        <w:rPr>
          <w:b/>
        </w:rPr>
        <w:t xml:space="preserve">1.5.1 </w:t>
      </w:r>
      <w:r w:rsidR="00D17C95" w:rsidRPr="00F961E8">
        <w:rPr>
          <w:b/>
        </w:rPr>
        <w:t>Budynek Skrzydło</w:t>
      </w:r>
      <w:r w:rsidRPr="00F961E8">
        <w:rPr>
          <w:b/>
        </w:rPr>
        <w:t>:</w:t>
      </w:r>
      <w:r w:rsidR="00D17C95" w:rsidRPr="00F961E8">
        <w:rPr>
          <w:b/>
        </w:rPr>
        <w:t xml:space="preserve"> </w:t>
      </w:r>
      <w:r w:rsidR="008C6A59" w:rsidRPr="008C6A59">
        <w:t>piwnica</w:t>
      </w:r>
    </w:p>
    <w:p w14:paraId="3991164F" w14:textId="58FD8515" w:rsidR="00F961E8" w:rsidRPr="00D626EB" w:rsidRDefault="00F961E8" w:rsidP="00F961E8">
      <w:pPr>
        <w:ind w:left="1440"/>
        <w:jc w:val="both"/>
        <w:rPr>
          <w:b/>
        </w:rPr>
      </w:pPr>
      <w:r w:rsidRPr="00D626EB">
        <w:rPr>
          <w:b/>
        </w:rPr>
        <w:t xml:space="preserve">1.5.2 </w:t>
      </w:r>
      <w:r w:rsidR="00D17C95" w:rsidRPr="00D626EB">
        <w:rPr>
          <w:b/>
        </w:rPr>
        <w:t>Budynek Główny</w:t>
      </w:r>
      <w:r w:rsidRPr="00D626EB">
        <w:rPr>
          <w:b/>
        </w:rPr>
        <w:t>:</w:t>
      </w:r>
    </w:p>
    <w:p w14:paraId="7089AB56" w14:textId="74D91E50" w:rsidR="00823699" w:rsidRDefault="00F239E6" w:rsidP="002D280E">
      <w:pPr>
        <w:pStyle w:val="Bezodstpw"/>
        <w:ind w:left="2124"/>
      </w:pPr>
      <w:r w:rsidRPr="00F239E6">
        <w:t>a)</w:t>
      </w:r>
      <w:r>
        <w:t xml:space="preserve"> </w:t>
      </w:r>
      <w:r w:rsidR="002B593D">
        <w:t xml:space="preserve"> </w:t>
      </w:r>
      <w:r>
        <w:t xml:space="preserve">parter: sale: 1, 8, 9; przedsionek przed </w:t>
      </w:r>
      <w:r w:rsidR="00823699">
        <w:t>salą 9</w:t>
      </w:r>
      <w:r>
        <w:t xml:space="preserve">, pomieszczenie woźnych, </w:t>
      </w:r>
      <w:r w:rsidR="00823699">
        <w:t>przedsionek przy wejściu głównym, przedsionek przy wejściu od boiska, stołówka, kuchnia, sekretariat, pokój dyrektora</w:t>
      </w:r>
      <w:r w:rsidR="00F9643D">
        <w:t>,</w:t>
      </w:r>
    </w:p>
    <w:p w14:paraId="10E76959" w14:textId="12CACB4D" w:rsidR="00F239E6" w:rsidRDefault="00823699" w:rsidP="002D280E">
      <w:pPr>
        <w:pStyle w:val="Bezodstpw"/>
        <w:ind w:left="1416" w:firstLine="708"/>
      </w:pPr>
      <w:r>
        <w:t xml:space="preserve">b) </w:t>
      </w:r>
      <w:r w:rsidR="002B593D">
        <w:t xml:space="preserve"> </w:t>
      </w:r>
      <w:r w:rsidR="002D280E">
        <w:t>I piętro: pokój nauczycielski, sale: 10, 12, 13, 14, 15, 19, 20</w:t>
      </w:r>
      <w:r w:rsidR="00F9643D">
        <w:t>,</w:t>
      </w:r>
    </w:p>
    <w:p w14:paraId="526BF41A" w14:textId="1CC91164" w:rsidR="002D280E" w:rsidRDefault="002D280E" w:rsidP="002D280E">
      <w:pPr>
        <w:pStyle w:val="Bezodstpw"/>
        <w:ind w:left="1416" w:firstLine="708"/>
      </w:pPr>
      <w:r>
        <w:t xml:space="preserve">c) </w:t>
      </w:r>
      <w:r w:rsidR="002B593D">
        <w:t xml:space="preserve"> II piętro:</w:t>
      </w:r>
      <w:r w:rsidR="00500ECB">
        <w:t xml:space="preserve"> sale:</w:t>
      </w:r>
      <w:r w:rsidR="00F9643D">
        <w:t xml:space="preserve"> 22, 23, 23, 25, 26, 27, 30, 31,</w:t>
      </w:r>
    </w:p>
    <w:p w14:paraId="13608D66" w14:textId="4C320A67" w:rsidR="00F9643D" w:rsidRDefault="00F9643D" w:rsidP="002D280E">
      <w:pPr>
        <w:pStyle w:val="Bezodstpw"/>
        <w:ind w:left="1416" w:firstLine="708"/>
      </w:pPr>
      <w:r>
        <w:t>d) wejście główne do szkoły,</w:t>
      </w:r>
    </w:p>
    <w:p w14:paraId="70010ACC" w14:textId="10CFDD39" w:rsidR="00F9643D" w:rsidRDefault="00F9643D" w:rsidP="00D626EB">
      <w:pPr>
        <w:pStyle w:val="Bezodstpw"/>
        <w:ind w:left="2124"/>
      </w:pPr>
      <w:r>
        <w:t xml:space="preserve">e) piwnica: szatnia, sklepik, pomieszczenie konserwatora, </w:t>
      </w:r>
      <w:r w:rsidR="00D626EB">
        <w:t>pomieszczenia: 7,            2, 4.</w:t>
      </w:r>
    </w:p>
    <w:p w14:paraId="07A0DBB0" w14:textId="77777777" w:rsidR="002D280E" w:rsidRPr="00F239E6" w:rsidRDefault="002D280E" w:rsidP="002D280E">
      <w:pPr>
        <w:pStyle w:val="Bezodstpw"/>
      </w:pPr>
    </w:p>
    <w:p w14:paraId="3675F4ED" w14:textId="752755EE" w:rsidR="00D17C95" w:rsidRPr="008C6A59" w:rsidRDefault="00D17C95" w:rsidP="00823699">
      <w:pPr>
        <w:ind w:left="708" w:firstLine="708"/>
        <w:jc w:val="both"/>
      </w:pPr>
      <w:r w:rsidRPr="00823699">
        <w:rPr>
          <w:b/>
        </w:rPr>
        <w:t xml:space="preserve"> </w:t>
      </w:r>
      <w:r w:rsidR="00F961E8" w:rsidRPr="00823699">
        <w:rPr>
          <w:b/>
        </w:rPr>
        <w:t xml:space="preserve">1.5.3 </w:t>
      </w:r>
      <w:r w:rsidR="008C6A59" w:rsidRPr="00823699">
        <w:rPr>
          <w:b/>
        </w:rPr>
        <w:t>P</w:t>
      </w:r>
      <w:r w:rsidRPr="00823699">
        <w:rPr>
          <w:b/>
        </w:rPr>
        <w:t>rzybudówk</w:t>
      </w:r>
      <w:r w:rsidR="008C6A59" w:rsidRPr="00823699">
        <w:rPr>
          <w:b/>
        </w:rPr>
        <w:t>a do Budynku Głównego</w:t>
      </w:r>
      <w:r w:rsidRPr="00823699">
        <w:rPr>
          <w:b/>
        </w:rPr>
        <w:t xml:space="preserve">  :</w:t>
      </w:r>
    </w:p>
    <w:p w14:paraId="6641F918" w14:textId="3A8366AC" w:rsidR="00D17C95" w:rsidRPr="008C6A59" w:rsidRDefault="00D17C95" w:rsidP="00D17C95">
      <w:pPr>
        <w:pStyle w:val="Akapitzlist"/>
        <w:numPr>
          <w:ilvl w:val="6"/>
          <w:numId w:val="5"/>
        </w:numPr>
        <w:jc w:val="both"/>
      </w:pPr>
      <w:r w:rsidRPr="008C6A59">
        <w:t xml:space="preserve">Korytarz na </w:t>
      </w:r>
      <w:r w:rsidR="008C6A59" w:rsidRPr="008C6A59">
        <w:t>pierwszym piętrze przybudówki</w:t>
      </w:r>
      <w:r w:rsidRPr="008C6A59">
        <w:t xml:space="preserve">, </w:t>
      </w:r>
    </w:p>
    <w:p w14:paraId="3A9DCD5D" w14:textId="6162C900" w:rsidR="00D17C95" w:rsidRDefault="00D17C95" w:rsidP="00D17C95">
      <w:pPr>
        <w:pStyle w:val="Akapitzlist"/>
        <w:numPr>
          <w:ilvl w:val="6"/>
          <w:numId w:val="5"/>
        </w:numPr>
        <w:jc w:val="both"/>
      </w:pPr>
      <w:r w:rsidRPr="008C6A59">
        <w:t>Pomieszczeni</w:t>
      </w:r>
      <w:r w:rsidR="008C6A59">
        <w:t>e</w:t>
      </w:r>
      <w:r w:rsidRPr="008C6A59">
        <w:t xml:space="preserve"> </w:t>
      </w:r>
      <w:r w:rsidR="008C6A59" w:rsidRPr="008C6A59">
        <w:t xml:space="preserve">gospodarcze przy </w:t>
      </w:r>
      <w:r w:rsidRPr="008C6A59">
        <w:t>„Harców</w:t>
      </w:r>
      <w:r w:rsidR="008C6A59" w:rsidRPr="008C6A59">
        <w:t>ce</w:t>
      </w:r>
      <w:r w:rsidRPr="008C6A59">
        <w:t>”</w:t>
      </w:r>
      <w:r w:rsidR="008C6A59">
        <w:t>,</w:t>
      </w:r>
    </w:p>
    <w:p w14:paraId="25C5E642" w14:textId="71393966" w:rsidR="008C6A59" w:rsidRDefault="008C6A59" w:rsidP="00D17C95">
      <w:pPr>
        <w:pStyle w:val="Akapitzlist"/>
        <w:numPr>
          <w:ilvl w:val="6"/>
          <w:numId w:val="5"/>
        </w:numPr>
        <w:jc w:val="both"/>
      </w:pPr>
      <w:r>
        <w:t>Magazyn przy sali gimnastycznej,</w:t>
      </w:r>
    </w:p>
    <w:p w14:paraId="3701307F" w14:textId="4DEEDF29" w:rsidR="008C6A59" w:rsidRDefault="008C6A59" w:rsidP="00D17C95">
      <w:pPr>
        <w:pStyle w:val="Akapitzlist"/>
        <w:numPr>
          <w:ilvl w:val="6"/>
          <w:numId w:val="5"/>
        </w:numPr>
        <w:jc w:val="both"/>
      </w:pPr>
      <w:r>
        <w:t>Pokój nauczycieli w-f,</w:t>
      </w:r>
    </w:p>
    <w:p w14:paraId="329BE093" w14:textId="00471711" w:rsidR="008C6A59" w:rsidRDefault="008C6A59" w:rsidP="00D17C95">
      <w:pPr>
        <w:pStyle w:val="Akapitzlist"/>
        <w:numPr>
          <w:ilvl w:val="6"/>
          <w:numId w:val="5"/>
        </w:numPr>
        <w:jc w:val="both"/>
      </w:pPr>
      <w:r>
        <w:t>Szatnie – 3 pomieszczenia,</w:t>
      </w:r>
    </w:p>
    <w:p w14:paraId="424CA332" w14:textId="5D450630" w:rsidR="008C6A59" w:rsidRDefault="008C6A59" w:rsidP="00D17C95">
      <w:pPr>
        <w:pStyle w:val="Akapitzlist"/>
        <w:numPr>
          <w:ilvl w:val="6"/>
          <w:numId w:val="5"/>
        </w:numPr>
        <w:jc w:val="both"/>
      </w:pPr>
      <w:r>
        <w:t>Sala lekcyjna 35,</w:t>
      </w:r>
    </w:p>
    <w:p w14:paraId="4BFF33EF" w14:textId="6647AB79" w:rsidR="008C6A59" w:rsidRDefault="008C6A59" w:rsidP="00D17C95">
      <w:pPr>
        <w:pStyle w:val="Akapitzlist"/>
        <w:numPr>
          <w:ilvl w:val="6"/>
          <w:numId w:val="5"/>
        </w:numPr>
        <w:jc w:val="both"/>
      </w:pPr>
      <w:r>
        <w:t xml:space="preserve">Pomieszczenia: 32, 37, 38, </w:t>
      </w:r>
    </w:p>
    <w:p w14:paraId="668A3E9C" w14:textId="39732CCB" w:rsidR="008C6A59" w:rsidRDefault="008C6A59" w:rsidP="00D17C95">
      <w:pPr>
        <w:pStyle w:val="Akapitzlist"/>
        <w:numPr>
          <w:ilvl w:val="6"/>
          <w:numId w:val="5"/>
        </w:numPr>
        <w:jc w:val="both"/>
      </w:pPr>
      <w:r>
        <w:t>Sala lekcyjna 39,</w:t>
      </w:r>
    </w:p>
    <w:p w14:paraId="128A4350" w14:textId="44ABCB63" w:rsidR="008C6A59" w:rsidRDefault="00F961E8" w:rsidP="00D17C95">
      <w:pPr>
        <w:pStyle w:val="Akapitzlist"/>
        <w:numPr>
          <w:ilvl w:val="6"/>
          <w:numId w:val="5"/>
        </w:numPr>
        <w:jc w:val="both"/>
      </w:pPr>
      <w:r>
        <w:t>Sala 40,</w:t>
      </w:r>
    </w:p>
    <w:p w14:paraId="0DA67434" w14:textId="1196D69D" w:rsidR="00F961E8" w:rsidRDefault="00F961E8" w:rsidP="00D17C95">
      <w:pPr>
        <w:pStyle w:val="Akapitzlist"/>
        <w:numPr>
          <w:ilvl w:val="6"/>
          <w:numId w:val="5"/>
        </w:numPr>
        <w:jc w:val="both"/>
      </w:pPr>
      <w:r>
        <w:t>Pomieszczenie 40a,</w:t>
      </w:r>
    </w:p>
    <w:p w14:paraId="62B4041F" w14:textId="7CD160F5" w:rsidR="00F961E8" w:rsidRDefault="00F961E8" w:rsidP="00D17C95">
      <w:pPr>
        <w:pStyle w:val="Akapitzlist"/>
        <w:numPr>
          <w:ilvl w:val="6"/>
          <w:numId w:val="5"/>
        </w:numPr>
        <w:jc w:val="both"/>
      </w:pPr>
      <w:r>
        <w:t>Magazyn przy sali 40.</w:t>
      </w:r>
    </w:p>
    <w:p w14:paraId="07817FC2" w14:textId="77777777" w:rsidR="0093038E" w:rsidRDefault="0093038E" w:rsidP="0093038E">
      <w:pPr>
        <w:pStyle w:val="Akapitzlist"/>
        <w:ind w:left="2520"/>
        <w:jc w:val="both"/>
      </w:pPr>
    </w:p>
    <w:bookmarkEnd w:id="0"/>
    <w:p w14:paraId="4349B6B8" w14:textId="01AE1032" w:rsidR="004200E1" w:rsidRPr="004200E1" w:rsidRDefault="004200E1" w:rsidP="00F961E8">
      <w:pPr>
        <w:pStyle w:val="Akapitzlist"/>
        <w:numPr>
          <w:ilvl w:val="0"/>
          <w:numId w:val="4"/>
        </w:numPr>
      </w:pPr>
      <w:r>
        <w:t>Przewidywany t</w:t>
      </w:r>
      <w:r w:rsidR="001141A0">
        <w:t xml:space="preserve">ermin realizacji: </w:t>
      </w:r>
      <w:r w:rsidR="001141A0" w:rsidRPr="00306731">
        <w:t xml:space="preserve">do </w:t>
      </w:r>
      <w:r w:rsidR="00306731" w:rsidRPr="00306731">
        <w:t>30 kwietnia</w:t>
      </w:r>
      <w:r w:rsidR="001141A0" w:rsidRPr="00306731">
        <w:t xml:space="preserve"> 202</w:t>
      </w:r>
      <w:r w:rsidR="00306731" w:rsidRPr="00306731">
        <w:t>3</w:t>
      </w:r>
      <w:r w:rsidR="001141A0">
        <w:t xml:space="preserve"> roku</w:t>
      </w:r>
      <w:r w:rsidR="00ED11A3">
        <w:t>.</w:t>
      </w:r>
      <w:r>
        <w:t xml:space="preserve"> </w:t>
      </w:r>
      <w:r w:rsidRPr="004200E1">
        <w:t>Termin może ulec zmianie w przypadku opóźnień w pozyskaniu środków na realizację zamówienia.</w:t>
      </w:r>
    </w:p>
    <w:p w14:paraId="324B660E" w14:textId="5CDF309D" w:rsidR="001141A0" w:rsidRDefault="001141A0" w:rsidP="00F961E8">
      <w:pPr>
        <w:pStyle w:val="Akapitzlist"/>
        <w:numPr>
          <w:ilvl w:val="0"/>
          <w:numId w:val="1"/>
        </w:numPr>
        <w:jc w:val="both"/>
      </w:pPr>
      <w:r>
        <w:t>Termin płatności: 2 tygodnie od dnia dostarczenia prawidłowo wystawionej faktury, wraz z zaakceptowanym przez Zamawiającego protokołem odbioru wykonania usługi</w:t>
      </w:r>
      <w:r w:rsidR="00686011">
        <w:t>, oraz wykonanymi pomiarami</w:t>
      </w:r>
      <w:r w:rsidR="00ED11A3">
        <w:t>.</w:t>
      </w:r>
    </w:p>
    <w:p w14:paraId="7CF57DC7" w14:textId="6009EAC5" w:rsidR="001141A0" w:rsidRDefault="001141A0" w:rsidP="001141A0">
      <w:pPr>
        <w:pStyle w:val="Akapitzlist"/>
        <w:numPr>
          <w:ilvl w:val="0"/>
          <w:numId w:val="1"/>
        </w:numPr>
        <w:jc w:val="both"/>
      </w:pPr>
      <w:r>
        <w:lastRenderedPageBreak/>
        <w:t>Zamawiający nie przewiduje płatności zaliczkowych (faktur pro forma)</w:t>
      </w:r>
      <w:r w:rsidR="00ED11A3">
        <w:t>.</w:t>
      </w:r>
    </w:p>
    <w:p w14:paraId="7FFD9B04" w14:textId="2C1B7F15" w:rsidR="001141A0" w:rsidRDefault="004A59C3" w:rsidP="001141A0">
      <w:pPr>
        <w:pStyle w:val="Akapitzlist"/>
        <w:numPr>
          <w:ilvl w:val="0"/>
          <w:numId w:val="1"/>
        </w:numPr>
        <w:jc w:val="both"/>
      </w:pPr>
      <w:r>
        <w:t>Do protokołu odbioru Wykonawca zobowiązany jest do dostarczenia wyników wykonanych przez osoby z odpowiednimi uprawnieniami p</w:t>
      </w:r>
      <w:r w:rsidR="001141A0">
        <w:t xml:space="preserve">omiarów elektrycznych (pomiarów naświetlenia), </w:t>
      </w:r>
      <w:r>
        <w:t xml:space="preserve">potwierdzającymi parametry oświetlenia, </w:t>
      </w:r>
      <w:r w:rsidR="001141A0">
        <w:t>zgodnie z obowiązującymi na każdy rodzaj pomieszczenia normami oświetleniowymi</w:t>
      </w:r>
      <w:r>
        <w:t>.</w:t>
      </w:r>
    </w:p>
    <w:p w14:paraId="262C7602" w14:textId="65C7328D" w:rsidR="001141A0" w:rsidRDefault="00ED11A3" w:rsidP="001141A0">
      <w:pPr>
        <w:pStyle w:val="Akapitzlist"/>
        <w:numPr>
          <w:ilvl w:val="0"/>
          <w:numId w:val="1"/>
        </w:numPr>
        <w:jc w:val="both"/>
      </w:pPr>
      <w:r>
        <w:t>Wykonawca udzieli 5-cio letniej g</w:t>
      </w:r>
      <w:r w:rsidR="001141A0">
        <w:t>warancj</w:t>
      </w:r>
      <w:r>
        <w:t>i</w:t>
      </w:r>
      <w:r w:rsidR="001141A0">
        <w:t xml:space="preserve"> na usługę, materiały </w:t>
      </w:r>
      <w:r>
        <w:t xml:space="preserve">(lampy) </w:t>
      </w:r>
      <w:r w:rsidR="001141A0">
        <w:t>i produkty</w:t>
      </w:r>
      <w:r>
        <w:t>.</w:t>
      </w:r>
    </w:p>
    <w:p w14:paraId="3B246860" w14:textId="4B1EAFC8" w:rsidR="001141A0" w:rsidRDefault="001141A0" w:rsidP="001141A0">
      <w:pPr>
        <w:pStyle w:val="Akapitzlist"/>
        <w:numPr>
          <w:ilvl w:val="0"/>
          <w:numId w:val="1"/>
        </w:numPr>
        <w:jc w:val="both"/>
      </w:pPr>
      <w:r>
        <w:t xml:space="preserve">Termin naprawy zgłoszonej usterki (wady wykonania, wady materiałów i produktów): 24 godziny od momentu mailowego zgłoszenia </w:t>
      </w:r>
      <w:r w:rsidR="00D12755">
        <w:t>wykrytej usterki</w:t>
      </w:r>
      <w:r w:rsidR="00ED11A3">
        <w:t>.</w:t>
      </w:r>
    </w:p>
    <w:p w14:paraId="4B776998" w14:textId="0AD94BA5" w:rsidR="001141A0" w:rsidRDefault="00D12755" w:rsidP="00D12755">
      <w:pPr>
        <w:pStyle w:val="Akapitzlist"/>
        <w:numPr>
          <w:ilvl w:val="0"/>
          <w:numId w:val="1"/>
        </w:numPr>
        <w:jc w:val="both"/>
      </w:pPr>
      <w:r>
        <w:t>Oświadczenia Wykonawcy dotyczące gwarancji oszczędności w zużyciu energii elektrycznej na poziomie min. 50 %</w:t>
      </w:r>
      <w:r w:rsidR="00ED11A3">
        <w:t>.</w:t>
      </w:r>
    </w:p>
    <w:p w14:paraId="7B90EAD8" w14:textId="6C73CFD1" w:rsidR="00192D77" w:rsidRDefault="00192D77" w:rsidP="00D12755">
      <w:pPr>
        <w:pStyle w:val="Akapitzlist"/>
        <w:numPr>
          <w:ilvl w:val="0"/>
          <w:numId w:val="1"/>
        </w:numPr>
        <w:jc w:val="both"/>
      </w:pPr>
      <w:r>
        <w:t>Zamawiający dokona wymiany źródeł światła na spełniające wymagania przedstawione w szczegółowym opisie warunków zamówienia, oraz opisane w złożonym do propozycji cenowej audycie</w:t>
      </w:r>
      <w:r w:rsidR="00ED11A3">
        <w:t>.</w:t>
      </w:r>
    </w:p>
    <w:p w14:paraId="56EB3859" w14:textId="4B866E65" w:rsidR="00192D77" w:rsidRDefault="004A59C3" w:rsidP="00D12755">
      <w:pPr>
        <w:pStyle w:val="Akapitzlist"/>
        <w:numPr>
          <w:ilvl w:val="0"/>
          <w:numId w:val="1"/>
        </w:numPr>
        <w:jc w:val="both"/>
      </w:pPr>
      <w:r>
        <w:t>D</w:t>
      </w:r>
      <w:r w:rsidR="00192D77">
        <w:t>o podpisanego protokołu Wykonawca zobowiązany jest dostarczyć kartę produktu. Brak dołączonej karty skutkować będzie wstrzymaniem płatności faktury za wykonaną usługę.</w:t>
      </w:r>
    </w:p>
    <w:p w14:paraId="7F46081B" w14:textId="7DDBFABF" w:rsidR="004A59C3" w:rsidRDefault="003F26D3" w:rsidP="00D12755">
      <w:pPr>
        <w:pStyle w:val="Akapitzlist"/>
        <w:numPr>
          <w:ilvl w:val="0"/>
          <w:numId w:val="1"/>
        </w:numPr>
        <w:jc w:val="both"/>
      </w:pPr>
      <w:r>
        <w:t xml:space="preserve">Wykonawca dokona demontażu i utylizacji starych lamp oświetleniowych, oraz montażu nowych lamp oświetleniowych, </w:t>
      </w:r>
      <w:bookmarkStart w:id="1" w:name="_Hlk109821557"/>
      <w:r>
        <w:t>zgodnie z obowiązującymi normami i przepisami</w:t>
      </w:r>
      <w:bookmarkEnd w:id="1"/>
      <w:r>
        <w:t>.</w:t>
      </w:r>
    </w:p>
    <w:p w14:paraId="6CFC8829" w14:textId="720E3292" w:rsidR="001E3DF2" w:rsidRPr="001E3DF2" w:rsidRDefault="001E3DF2" w:rsidP="001E3DF2">
      <w:pPr>
        <w:pStyle w:val="Akapitzlist"/>
        <w:numPr>
          <w:ilvl w:val="0"/>
          <w:numId w:val="1"/>
        </w:numPr>
      </w:pPr>
      <w:r w:rsidRPr="001E3DF2">
        <w:t>Na wynagrodzenie</w:t>
      </w:r>
      <w:r>
        <w:t xml:space="preserve"> za wykonaną zgonie z pkt. 1 usługę</w:t>
      </w:r>
      <w:r w:rsidRPr="001E3DF2">
        <w:t xml:space="preserve"> składa się całość kosztów związanych z  kompleksową realizacją zadania, zgodnie z ustaleniami. </w:t>
      </w:r>
    </w:p>
    <w:p w14:paraId="4722AB1F" w14:textId="77777777" w:rsidR="001E3DF2" w:rsidRDefault="001E3DF2" w:rsidP="001E3DF2">
      <w:pPr>
        <w:pStyle w:val="Akapitzlist"/>
        <w:numPr>
          <w:ilvl w:val="0"/>
          <w:numId w:val="1"/>
        </w:numPr>
        <w:jc w:val="both"/>
      </w:pPr>
      <w:r>
        <w:t xml:space="preserve">Wynagrodzenie będzie niezmienne przez cały czas realizacji robót i Wykonawca nie może żądać podwyższenia  wynagrodzenia, chociażby w czasie zawarcia Umowy nie można było przewidzieć rozmiaru lub kosztów prac. </w:t>
      </w:r>
    </w:p>
    <w:p w14:paraId="180B9B55" w14:textId="77777777" w:rsidR="001E3DF2" w:rsidRDefault="001E3DF2" w:rsidP="001E3DF2">
      <w:pPr>
        <w:pStyle w:val="Akapitzlist"/>
        <w:numPr>
          <w:ilvl w:val="0"/>
          <w:numId w:val="1"/>
        </w:numPr>
        <w:jc w:val="both"/>
      </w:pPr>
      <w:r>
        <w:t xml:space="preserve">W przypadku pominięcia przez Wykonawcę przy wycenie przedmiotu Umowy  jakichkolwiek robót lub kosztów określonych lub zasygnalizowanych w dokumentacji i ich nieujęcia </w:t>
      </w:r>
    </w:p>
    <w:p w14:paraId="1052C1E8" w14:textId="77777777" w:rsidR="001E3DF2" w:rsidRDefault="001E3DF2" w:rsidP="001E3DF2">
      <w:pPr>
        <w:pStyle w:val="Akapitzlist"/>
        <w:jc w:val="both"/>
      </w:pPr>
      <w:r>
        <w:t xml:space="preserve">w wynagrodzeniu, Wykonawcy nie przysługują względem Zamawiającego  żadne roszczenia </w:t>
      </w:r>
    </w:p>
    <w:p w14:paraId="51E59355" w14:textId="77777777" w:rsidR="001E3DF2" w:rsidRDefault="001E3DF2" w:rsidP="001E3DF2">
      <w:pPr>
        <w:pStyle w:val="Akapitzlist"/>
        <w:jc w:val="both"/>
      </w:pPr>
      <w:r>
        <w:t xml:space="preserve">z powyższego tytułu, a w szczególności roszczenie o dodatkowe wynagrodzenie. </w:t>
      </w:r>
    </w:p>
    <w:p w14:paraId="7B2F68F8" w14:textId="77777777" w:rsidR="001E3DF2" w:rsidRDefault="001E3DF2" w:rsidP="00ED11A3">
      <w:pPr>
        <w:pStyle w:val="Akapitzlist"/>
        <w:jc w:val="both"/>
      </w:pPr>
    </w:p>
    <w:p w14:paraId="7D830768" w14:textId="3D259B6F" w:rsidR="00D72920" w:rsidRDefault="00D72920" w:rsidP="001141A0">
      <w:pPr>
        <w:pStyle w:val="Akapitzlist"/>
        <w:jc w:val="both"/>
      </w:pPr>
    </w:p>
    <w:p w14:paraId="72914D02" w14:textId="77777777" w:rsidR="00D72920" w:rsidRPr="00D72920" w:rsidRDefault="00D72920" w:rsidP="00D72920"/>
    <w:p w14:paraId="12CBC959" w14:textId="77777777" w:rsidR="00D72920" w:rsidRPr="00D72920" w:rsidRDefault="00D72920" w:rsidP="00D72920"/>
    <w:p w14:paraId="012B6109" w14:textId="77777777" w:rsidR="00D72920" w:rsidRPr="00D72920" w:rsidRDefault="00D72920" w:rsidP="00D72920"/>
    <w:p w14:paraId="53427262" w14:textId="77777777" w:rsidR="00D72920" w:rsidRPr="00D72920" w:rsidRDefault="00D72920" w:rsidP="00D72920"/>
    <w:p w14:paraId="04BBD3E2" w14:textId="77777777" w:rsidR="00D72920" w:rsidRPr="00D72920" w:rsidRDefault="00D72920" w:rsidP="00D72920"/>
    <w:p w14:paraId="3451D1C0" w14:textId="77777777" w:rsidR="00D72920" w:rsidRPr="00D72920" w:rsidRDefault="00D72920" w:rsidP="00D72920"/>
    <w:p w14:paraId="0D27BF6A" w14:textId="77777777" w:rsidR="00D72920" w:rsidRPr="00D72920" w:rsidRDefault="00D72920" w:rsidP="00D72920"/>
    <w:p w14:paraId="635485E7" w14:textId="77777777" w:rsidR="00D72920" w:rsidRPr="00D72920" w:rsidRDefault="00D72920" w:rsidP="00D72920"/>
    <w:p w14:paraId="2788362A" w14:textId="77777777" w:rsidR="00D72920" w:rsidRPr="00D72920" w:rsidRDefault="00D72920" w:rsidP="00D72920"/>
    <w:p w14:paraId="66C8D1E8" w14:textId="2F92B89C" w:rsidR="00D72920" w:rsidRDefault="00D72920" w:rsidP="00D72920"/>
    <w:p w14:paraId="2AC0F9DC" w14:textId="77777777" w:rsidR="001141A0" w:rsidRPr="00D72920" w:rsidRDefault="001141A0" w:rsidP="00D72920">
      <w:pPr>
        <w:jc w:val="center"/>
      </w:pPr>
      <w:bookmarkStart w:id="2" w:name="_GoBack"/>
      <w:bookmarkEnd w:id="2"/>
    </w:p>
    <w:sectPr w:rsidR="001141A0" w:rsidRPr="00D729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850BE" w14:textId="77777777" w:rsidR="009A4409" w:rsidRDefault="009A4409" w:rsidP="00D12755">
      <w:pPr>
        <w:spacing w:after="0" w:line="240" w:lineRule="auto"/>
      </w:pPr>
      <w:r>
        <w:separator/>
      </w:r>
    </w:p>
  </w:endnote>
  <w:endnote w:type="continuationSeparator" w:id="0">
    <w:p w14:paraId="130E3C32" w14:textId="77777777" w:rsidR="009A4409" w:rsidRDefault="009A4409" w:rsidP="00D1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12815" w14:textId="77777777" w:rsidR="009A4409" w:rsidRDefault="009A4409" w:rsidP="00D12755">
      <w:pPr>
        <w:spacing w:after="0" w:line="240" w:lineRule="auto"/>
      </w:pPr>
      <w:r>
        <w:separator/>
      </w:r>
    </w:p>
  </w:footnote>
  <w:footnote w:type="continuationSeparator" w:id="0">
    <w:p w14:paraId="37B5F865" w14:textId="77777777" w:rsidR="009A4409" w:rsidRDefault="009A4409" w:rsidP="00D1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EAA60" w14:textId="6194EFA9" w:rsidR="00BA0250" w:rsidRDefault="00BA0250" w:rsidP="00BA0250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8FA"/>
    <w:multiLevelType w:val="hybridMultilevel"/>
    <w:tmpl w:val="E4182F46"/>
    <w:lvl w:ilvl="0" w:tplc="EFB8E70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2E41E3"/>
    <w:multiLevelType w:val="hybridMultilevel"/>
    <w:tmpl w:val="5FBC3098"/>
    <w:lvl w:ilvl="0" w:tplc="A210C2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0DCF"/>
    <w:multiLevelType w:val="multilevel"/>
    <w:tmpl w:val="98DEF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3" w15:restartNumberingAfterBreak="0">
    <w:nsid w:val="1AE91D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AC5DC9"/>
    <w:multiLevelType w:val="multilevel"/>
    <w:tmpl w:val="400ED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2747766C"/>
    <w:multiLevelType w:val="multilevel"/>
    <w:tmpl w:val="C8784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6" w15:restartNumberingAfterBreak="0">
    <w:nsid w:val="2ED37FE0"/>
    <w:multiLevelType w:val="hybridMultilevel"/>
    <w:tmpl w:val="80ACB8BE"/>
    <w:lvl w:ilvl="0" w:tplc="60EA7E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413944"/>
    <w:multiLevelType w:val="multilevel"/>
    <w:tmpl w:val="AC002E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124931"/>
    <w:multiLevelType w:val="hybridMultilevel"/>
    <w:tmpl w:val="000E9B36"/>
    <w:lvl w:ilvl="0" w:tplc="C4BAA9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D6747F"/>
    <w:multiLevelType w:val="hybridMultilevel"/>
    <w:tmpl w:val="258A95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59"/>
    <w:rsid w:val="00087BC7"/>
    <w:rsid w:val="000C457B"/>
    <w:rsid w:val="001141A0"/>
    <w:rsid w:val="00120B4F"/>
    <w:rsid w:val="00192D77"/>
    <w:rsid w:val="001E3DF2"/>
    <w:rsid w:val="002B593D"/>
    <w:rsid w:val="002D280E"/>
    <w:rsid w:val="00306731"/>
    <w:rsid w:val="0037567D"/>
    <w:rsid w:val="003A5159"/>
    <w:rsid w:val="003F26D3"/>
    <w:rsid w:val="004200E1"/>
    <w:rsid w:val="004A59C3"/>
    <w:rsid w:val="00500ECB"/>
    <w:rsid w:val="005E0C69"/>
    <w:rsid w:val="005F7613"/>
    <w:rsid w:val="00630099"/>
    <w:rsid w:val="00636B4C"/>
    <w:rsid w:val="00686011"/>
    <w:rsid w:val="00737C05"/>
    <w:rsid w:val="0080673F"/>
    <w:rsid w:val="00823699"/>
    <w:rsid w:val="00854E54"/>
    <w:rsid w:val="00881F19"/>
    <w:rsid w:val="008C6A59"/>
    <w:rsid w:val="0093038E"/>
    <w:rsid w:val="009A4409"/>
    <w:rsid w:val="00A26C17"/>
    <w:rsid w:val="00AF5FBE"/>
    <w:rsid w:val="00BA0250"/>
    <w:rsid w:val="00BB1822"/>
    <w:rsid w:val="00C032CF"/>
    <w:rsid w:val="00D12755"/>
    <w:rsid w:val="00D17C95"/>
    <w:rsid w:val="00D626EB"/>
    <w:rsid w:val="00D72920"/>
    <w:rsid w:val="00DB3A50"/>
    <w:rsid w:val="00EC1265"/>
    <w:rsid w:val="00ED11A3"/>
    <w:rsid w:val="00F239E6"/>
    <w:rsid w:val="00F961E8"/>
    <w:rsid w:val="00F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E314"/>
  <w15:chartTrackingRefBased/>
  <w15:docId w15:val="{8F0EF2A0-3B4A-4115-887A-C6D03FF1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1A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7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250"/>
  </w:style>
  <w:style w:type="paragraph" w:styleId="Stopka">
    <w:name w:val="footer"/>
    <w:basedOn w:val="Normalny"/>
    <w:link w:val="StopkaZnak"/>
    <w:uiPriority w:val="99"/>
    <w:unhideWhenUsed/>
    <w:rsid w:val="00BA0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50"/>
  </w:style>
  <w:style w:type="paragraph" w:styleId="Bezodstpw">
    <w:name w:val="No Spacing"/>
    <w:uiPriority w:val="1"/>
    <w:qFormat/>
    <w:rsid w:val="002D2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Tuczyńska Julita</dc:creator>
  <cp:keywords/>
  <dc:description/>
  <cp:lastModifiedBy>Tuczyńska Julita</cp:lastModifiedBy>
  <cp:revision>21</cp:revision>
  <cp:lastPrinted>2022-07-28T12:12:00Z</cp:lastPrinted>
  <dcterms:created xsi:type="dcterms:W3CDTF">2022-07-27T09:42:00Z</dcterms:created>
  <dcterms:modified xsi:type="dcterms:W3CDTF">2023-03-01T12:08:00Z</dcterms:modified>
</cp:coreProperties>
</file>